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843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Secretaría del Consejo Superior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9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6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2026.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bCs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bCs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4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(____________________________).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8F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-126995</wp:posOffset>
          </wp:positionH>
          <wp:positionV relativeFrom="paragraph">
            <wp:posOffset>-55874</wp:posOffset>
          </wp:positionV>
          <wp:extent cx="1602459" cy="690563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-126995</wp:posOffset>
          </wp:positionH>
          <wp:positionV relativeFrom="paragraph">
            <wp:posOffset>-55874</wp:posOffset>
          </wp:positionV>
          <wp:extent cx="1720215" cy="7467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RT97PDRIkZrh09RP7YPRRrPuA==">CgMxLjAyCGguZ2pkZ3hzOAByITFiaFpuSEV1eEVuekNIbmxnYkxvb1FKTVpkYmZXSFZoWg==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